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6A23CA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</w:t>
      </w:r>
      <w:r w:rsidR="00586924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Latn-CS"/>
        </w:rPr>
        <w:t>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05615C">
        <w:rPr>
          <w:rFonts w:ascii="Times New Roman" w:hAnsi="Times New Roman"/>
          <w:b/>
          <w:lang w:val="sr-Latn-CS"/>
        </w:rPr>
        <w:t>B Braun Adria RSRB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362055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05615C">
        <w:rPr>
          <w:rFonts w:ascii="Times New Roman" w:hAnsi="Times New Roman"/>
          <w:lang w:val="sr-Cyrl-CS"/>
        </w:rPr>
        <w:t>смо примили дана 1</w:t>
      </w:r>
      <w:r w:rsidR="0005615C">
        <w:rPr>
          <w:rFonts w:ascii="Times New Roman" w:hAnsi="Times New Roman"/>
          <w:lang w:val="sr-Latn-CS"/>
        </w:rPr>
        <w:t>9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године, обавештавамо вас</w:t>
      </w:r>
      <w:r w:rsidR="0005615C">
        <w:rPr>
          <w:rFonts w:ascii="Times New Roman" w:hAnsi="Times New Roman"/>
          <w:lang w:val="sr-Latn-CS"/>
        </w:rPr>
        <w:t xml:space="preserve">, </w:t>
      </w:r>
      <w:r w:rsidR="0005615C">
        <w:rPr>
          <w:rFonts w:ascii="Times New Roman" w:hAnsi="Times New Roman"/>
          <w:lang w:val="sr-Cyrl-CS"/>
        </w:rPr>
        <w:t>да за</w:t>
      </w:r>
      <w:r w:rsidR="00586924">
        <w:rPr>
          <w:rFonts w:ascii="Times New Roman" w:hAnsi="Times New Roman"/>
          <w:lang w:val="sr-Cyrl-CS"/>
        </w:rPr>
        <w:t>конски заступници који су страни</w:t>
      </w:r>
      <w:r w:rsidR="0005615C">
        <w:rPr>
          <w:rFonts w:ascii="Times New Roman" w:hAnsi="Times New Roman"/>
          <w:lang w:val="sr-Cyrl-CS"/>
        </w:rPr>
        <w:t xml:space="preserve"> држављани</w:t>
      </w:r>
      <w:r w:rsidR="00586924">
        <w:rPr>
          <w:rFonts w:ascii="Times New Roman" w:hAnsi="Times New Roman"/>
          <w:lang w:val="sr-Cyrl-CS"/>
        </w:rPr>
        <w:t xml:space="preserve"> могу да доставе</w:t>
      </w:r>
      <w:r w:rsidR="0005615C">
        <w:rPr>
          <w:rFonts w:ascii="Times New Roman" w:hAnsi="Times New Roman"/>
          <w:lang w:val="sr-Cyrl-CS"/>
        </w:rPr>
        <w:t xml:space="preserve"> уверења надлежног суда стране државе</w:t>
      </w:r>
      <w:r w:rsidR="00586924">
        <w:rPr>
          <w:rFonts w:ascii="Times New Roman" w:hAnsi="Times New Roman"/>
          <w:lang w:val="sr-Cyrl-CS"/>
        </w:rPr>
        <w:t>, да нису осуђ</w:t>
      </w:r>
      <w:r w:rsidR="0005615C">
        <w:rPr>
          <w:rFonts w:ascii="Times New Roman" w:hAnsi="Times New Roman"/>
          <w:lang w:val="sr-Cyrl-CS"/>
        </w:rPr>
        <w:t>ивани за кривична дела наведена у чл. 75. Став 1. Тачка 2. под условом да њихова полицијска управа не изадје иста.</w:t>
      </w:r>
    </w:p>
    <w:p w:rsidR="0005615C" w:rsidRPr="0005615C" w:rsidRDefault="0005615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Потребно је да доказ буде преведен од стране овлашћеног судског тумача на српски језик.</w:t>
      </w:r>
    </w:p>
    <w:p w:rsidR="006A23CA" w:rsidRDefault="006A23C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F7627A" w:rsidRPr="00BA2E45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4C" w:rsidRDefault="00CA224C">
      <w:r>
        <w:separator/>
      </w:r>
    </w:p>
  </w:endnote>
  <w:endnote w:type="continuationSeparator" w:id="1">
    <w:p w:rsidR="00CA224C" w:rsidRDefault="00CA2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EB5E07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EB5E07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4C" w:rsidRDefault="00CA224C">
      <w:r>
        <w:separator/>
      </w:r>
    </w:p>
  </w:footnote>
  <w:footnote w:type="continuationSeparator" w:id="1">
    <w:p w:rsidR="00CA224C" w:rsidRDefault="00CA22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A4B65"/>
    <w:rsid w:val="000C7E16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A0CF1"/>
    <w:rsid w:val="00BA2E45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671B"/>
    <w:rsid w:val="00FB6073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1408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5</cp:revision>
  <cp:lastPrinted>2012-03-13T09:34:00Z</cp:lastPrinted>
  <dcterms:created xsi:type="dcterms:W3CDTF">2013-06-17T09:57:00Z</dcterms:created>
  <dcterms:modified xsi:type="dcterms:W3CDTF">2013-06-19T10:19:00Z</dcterms:modified>
</cp:coreProperties>
</file>